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360" w:lineRule="auto"/>
        <w:ind w:firstLine="72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belief in the fairies in Ireland was a system whereby people were able to objectify the incomprehensible and account for any malevolent events that befell them. It was important to safeguard against such otherworldly fairy </w:t>
      </w:r>
      <w:r w:rsidDel="00000000" w:rsidR="00000000" w:rsidRPr="00000000">
        <w:rPr>
          <w:rFonts w:ascii="Calibri" w:cs="Calibri" w:eastAsia="Calibri" w:hAnsi="Calibri"/>
          <w:sz w:val="24"/>
          <w:szCs w:val="24"/>
          <w:rtl w:val="0"/>
        </w:rPr>
        <w:t xml:space="preserve">influence</w:t>
      </w:r>
      <w:r w:rsidDel="00000000" w:rsidR="00000000" w:rsidRPr="00000000">
        <w:rPr>
          <w:rFonts w:ascii="Calibri" w:cs="Calibri" w:eastAsia="Calibri" w:hAnsi="Calibri"/>
          <w:sz w:val="24"/>
          <w:szCs w:val="24"/>
          <w:rtl w:val="0"/>
        </w:rPr>
        <w:t xml:space="preserve"> in respect of the butter economy, birth, death and many other significant aspects of life. Offer a detailed account, with examples, of the different life circumstances in which fairy belief functioned.</w:t>
      </w:r>
    </w:p>
    <w:p w:rsidR="00000000" w:rsidDel="00000000" w:rsidP="00000000" w:rsidRDefault="00000000" w:rsidRPr="00000000" w14:paraId="0000000A">
      <w:pPr>
        <w:spacing w:line="360" w:lineRule="auto"/>
        <w:ind w:firstLine="72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ind w:firstLine="7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Fiona Laffey #124103842</w:t>
      </w:r>
    </w:p>
    <w:p w:rsidR="00000000" w:rsidDel="00000000" w:rsidP="00000000" w:rsidRDefault="00000000" w:rsidRPr="00000000" w14:paraId="00000017">
      <w:pPr>
        <w:spacing w:line="360" w:lineRule="auto"/>
        <w:ind w:firstLine="7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FL2111</w:t>
      </w:r>
    </w:p>
    <w:p w:rsidR="00000000" w:rsidDel="00000000" w:rsidP="00000000" w:rsidRDefault="00000000" w:rsidRPr="00000000" w14:paraId="00000018">
      <w:pPr>
        <w:spacing w:line="360" w:lineRule="auto"/>
        <w:ind w:firstLine="720"/>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Shane Lehane</w:t>
      </w:r>
    </w:p>
    <w:p w:rsidR="00000000" w:rsidDel="00000000" w:rsidP="00000000" w:rsidRDefault="00000000" w:rsidRPr="00000000" w14:paraId="00000019">
      <w:pPr>
        <w:spacing w:line="360" w:lineRule="auto"/>
        <w:ind w:firstLine="720"/>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29th April, 2024</w:t>
      </w:r>
    </w:p>
    <w:p w:rsidR="00000000" w:rsidDel="00000000" w:rsidP="00000000" w:rsidRDefault="00000000" w:rsidRPr="00000000" w14:paraId="0000001A">
      <w:pPr>
        <w:spacing w:line="360" w:lineRule="auto"/>
        <w:ind w:left="0" w:firstLine="72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Fairies, the Sidh, the good people, or whichever name these creatures from the Otherworld were given acted as the manifestation of the attempt to comprehend the unknown. Belief in the faires, or “the good people”, permeated Ireland, specifically rural Irish culture. The fairies are a representation of malevolence or any behavior seen as taboo or outside the cultural norms. The dependence on fairies as a blanket explanation for the unexplainable influenced both daily and ritual aspects of life, creating habits and knowledge that may otherwise be useless without belief in the fairies. One circumstance in life that was deeply influenced by fairy belief was in relation to illness. The negative consequences of allowing fairy belief to inform treatment as well as the positive consequences of using fairy belief to navigate difficult emotions provide an interesting study into how fairy belief functioned within society. Circumstances surrounding medicine in Ireland, especially in rural communities, reflect the deep importance of folklore informing not only the habits but also the genuine beliefs of those influenced by fairy beliefs. </w:t>
      </w:r>
    </w:p>
    <w:p w:rsidR="00000000" w:rsidDel="00000000" w:rsidP="00000000" w:rsidRDefault="00000000" w:rsidRPr="00000000" w14:paraId="0000001B">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the fairies are defined as varies throughout Ireland. Scholars identify the good people as deified ancestors, nature spirits, different races, old gods, spirits of the dead, or even fallen angels trying to break back into heaven. These beings of the Otherworld can take many forms but are often invisible to humans. They exist in a space of liminality, “Fairies mirror the rural society that tells stories about them, in both its seen and unseen aspects” (Bourke, 9). Belief in fairies has often been used to maintain societal norms. For example, fairies were believed to hate untidiness, encouraging the practices that “The kitchen must always be cleaned up before being left at night, the fire raked, and a gallon of fresh water left for the good people” (Duncan, 170). One informant from the National Folklore Collection notes that mothers used to threaten their children saying they would take them to the fairies if they behaved badly. (NCFS 697:352 M. Murray, Clonymore, Co. Meath). In Irish culture, stories of fairies iterating with the human realm are just stories– tools to encourage a clean house and good behavior. These stories, however, hold a deep amount of power when it comes to influencing beliefs and habits in society. </w:t>
      </w:r>
    </w:p>
    <w:p w:rsidR="00000000" w:rsidDel="00000000" w:rsidP="00000000" w:rsidRDefault="00000000" w:rsidRPr="00000000" w14:paraId="0000001C">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 of fairy belief stems from the idea that fairies are the cause of all malevolent events, mainly illness. Due to a lack of medical knowledge at the peak of fairy belief in Ireland, sickness and disabilities were explained as being caused by fairies. It was easier to blame misfortune on the invisible and mischievous fairies, as people did not have access to knowledge that would explain these illnesses. Beyond explaining the illness as fairy interference, the Irish believed that fairy illness was due to some slight being made against the good people. Much evidence of this belief can be found in theNational Folklore Collection with one informant stating, “The fairies are the Tuatha De Danaans. Most people believe in fairies. Now those fairies are supposed to live in the old forts. Many people are afraid of the anger of the fairies” (NCFS 697:352 M. Murray, Clonymore, Co. Meath). This reflects social constructs of someone's spiritual or moral well-being affecting their physical well-being. Instead of offering medical explanations for illness, people in rural Ireland would often attempt to discover how the affected upset the fairies. </w:t>
      </w:r>
    </w:p>
    <w:p w:rsidR="00000000" w:rsidDel="00000000" w:rsidP="00000000" w:rsidRDefault="00000000" w:rsidRPr="00000000" w14:paraId="0000001D">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Oftentimes, people believed they became sick after interacting with a fairy fort. This fairy belief system caused people to create boundaries in their communities in which locations were deemed unsafe or of the Otherworld. As one man states, “I heard a story about a man who slept on a fort and was </w:t>
      </w:r>
      <w:r w:rsidDel="00000000" w:rsidR="00000000" w:rsidRPr="00000000">
        <w:rPr>
          <w:rFonts w:ascii="Calibri" w:cs="Calibri" w:eastAsia="Calibri" w:hAnsi="Calibri"/>
          <w:sz w:val="24"/>
          <w:szCs w:val="24"/>
          <w:rtl w:val="0"/>
        </w:rPr>
        <w:t xml:space="preserve">disformed</w:t>
      </w:r>
      <w:r w:rsidDel="00000000" w:rsidR="00000000" w:rsidRPr="00000000">
        <w:rPr>
          <w:rFonts w:ascii="Calibri" w:cs="Calibri" w:eastAsia="Calibri" w:hAnsi="Calibri"/>
          <w:sz w:val="24"/>
          <w:szCs w:val="24"/>
          <w:rtl w:val="0"/>
        </w:rPr>
        <w:t xml:space="preserve">” (NCFS 93:501.) The fear of fairy forts has lasted for generations, as a case in County Mayo illuminated. In April of 1959, a new road was set to be built through a fairy fort. Out of fear of angering the fairies, over 25 workers went on strike, and the plans were ultimately changed (Christiansen, 102). While the farmers who owned the land did not believe in fairies, they still agreed to change the plans. Cultural cues surrounding fairy belief continue to affect life circumstances and practices, even when the genuine belief in fairies does not exist. As O Giolláin states, “The traditional community understood the world in terms of a distinction between itself and that which was outside. Thus it opposed its own inhabited space to the relatively unknown space beyond” (O Giolláin, 200). By endowing this unknown space beyond with the title of a fairy dwelling, traditional communities were able to not only mark spaces as unsafe due to not understanding the landscape but also provide justification for fear of the unknown. Fairy belief provided a sense of solace for those who felt helpless during times of misfortune. </w:t>
      </w:r>
    </w:p>
    <w:p w:rsidR="00000000" w:rsidDel="00000000" w:rsidP="00000000" w:rsidRDefault="00000000" w:rsidRPr="00000000" w14:paraId="0000001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addition to fairies causing illness, it was believed that good people could imitate sick humans as changelings. These changelings are adult fairies that have abducted humans and taken them to the Otherworld. “​​Local tradition attributes the name. Sliabh na mBan, to the presence of fairy women who occasionally showed themselves to some girl in the neighborhood of the mountain and then carried her away unknown to her parents, leaving an old hag or fuighleach in her place” (NCFS 560:274 James Maher, Mullinahone, Co. Tipperary). The idea of changelings was used to explain any strange illness of an adult or newborn. The use of fire and iron, elements of the material world, were said to prevent or reveal changelings. “It is also believed that if the tongs are put over the "irons" by the fire, the fairies cannot enter the house” (NCFS 1118:231 Dan Mc Laughlin, Glennagiveny, Co. Donegal). The use of fire and irons is a recurring theme surrounding stories about changelings. Many folklore tales such as “The Tailor and The Changeling” cite a hot iron used to scare away a changeling baby. The belief in changelings, however, also included the belief in somehow recapturing a loved one and revealing the imposter changeling. This has led to horrible abuses, especially to women and children, in the name of tricking a changeling. </w:t>
      </w:r>
    </w:p>
    <w:p w:rsidR="00000000" w:rsidDel="00000000" w:rsidP="00000000" w:rsidRDefault="00000000" w:rsidRPr="00000000" w14:paraId="0000001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One famous example of fairy belief leading to negative consequences is the Burning of Bridget Cleary. In March of 1895, Bridget Cleary, wife of Michael Cleary, grew ill and was eventually burned alive due to her family believing she was a changeling. Bridget’s residence was near a fairy fort and it is believed that her illness was the result of her “being with the fairies”, or having been abducted by the fairies and replaced with a hag. One source states, “Michael Cleary believed that if he went out on three moonlight nights in succession, he would see his wife riding out of the rath near his house on a white horse. He went out on the scheduled nights, but nobody appeared near the rath. Then began the trials to which the wretched victim was subjected” (NCFS 560:274 James Maher, Mullinahone, Co. Tipperary). For days, her husband and brothers held Bridget and Mrs. Johannah Burke hostage in an attempt to cure her of fairy illness. </w:t>
      </w:r>
    </w:p>
    <w:p w:rsidR="00000000" w:rsidDel="00000000" w:rsidP="00000000" w:rsidRDefault="00000000" w:rsidRPr="00000000" w14:paraId="00000020">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 was force-fed herbs, had urine tossed on her, and was physically attacked multiple times by Michael. When she could finish her three pieces of bread her husband, “Flung her on the ground, put his knee on her chest, one hand on her throat, and forced the bit of bread and jam down her throat, saying 'Swallow it. Is it down?’” (“The ‘Witch-Burning’ at Clonmel.”). The bread was said to have been such with an iron knife, hated by the fairies. Additionally, she was asked three times if she was Bridget Cleary in the name of God, which relates to the idea that, “Fairies can repeat a call twice, but not three times” (Duncan 164). All of Bridget Cleary’s “treatments” had some relation to fairy belief and folklore in Ireland, however, they did not help treat her illness which has now been believed to be a case of bronchitis. Ultimately, Bridget was held over the fireplace she died by her husband, father, and brothers in an attempt to reveal a changeling that did not exist. </w:t>
      </w:r>
    </w:p>
    <w:p w:rsidR="00000000" w:rsidDel="00000000" w:rsidP="00000000" w:rsidRDefault="00000000" w:rsidRPr="00000000" w14:paraId="00000021">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Bridget Cleary is not the only case of abuse being excused as a treatment for fairy illness. Women who did not meet societal expectations, especially in marriage, were often accused of being with the fairies when in reality, their actions just did not please their husbands. This claim held extreme consequences as seen in Bridget’s case, creating slim chances for women to escape these horrible “cures”. Fairy belief in Ireland has deeply permeated superstition over generations. Micheal Cleary’s delusions of finding his wife on a wife's horse derived from folklore tales of men rescuing their wives on Halloween, or Samhain, after being stolen from the fairies. While Ó Giolláin states, “People do not experience the fairies anymore” (Ó Giolláin, 211), the Burning of Bridget Cleary provides a clear example of fairies controlling and excusing behaviors that would otherwise be deemed as wrong. </w:t>
      </w:r>
    </w:p>
    <w:p w:rsidR="00000000" w:rsidDel="00000000" w:rsidP="00000000" w:rsidRDefault="00000000" w:rsidRPr="00000000" w14:paraId="00000022">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abuses leveraged in the name of exposing changelings extended beyond women and oftentimes affected children as well. The fear of fairies taking newborns greatly affected how childcare was enacted in rural Ireland. Infants born with disabilities were immediately viewed as changelings. People could not understand why their children were born looking or acting differently, as they did not know about genetic disorders (Eberly). It was easier to place the blame on the fairies or view the disability as a punishment for some wrongdoing the mother had acted out. Again, female behavior outside of prescribed societal expectations was deemed as wrong and therefore punishable by fairy interference. When discussing the development of fairy belief Ó Giolláin states, “Anything which upset the natural order of the community tended to be linked to the disorderly world outside. The diagnosis of misfortune identified the culprits as fairies, or evil spirits, or people in league with them, or individuals who occupied ambiguous, "un-ordered" social roles” (Ó Giolláin, 201). A child with a disability surely was viewed as an upset to the natural order of a community, and therefore could easily be identified with the fairies as the other. </w:t>
      </w:r>
    </w:p>
    <w:p w:rsidR="00000000" w:rsidDel="00000000" w:rsidP="00000000" w:rsidRDefault="00000000" w:rsidRPr="00000000" w14:paraId="00000023">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believing the child was a changeling, there were supposed cures for these changeling babies. For example, “Take lusmore (fox-glove) and squeeze the juice out. Give the child three drops on the tongue, and three in each ear. Then place it at the door of the house on a shovel (on which it should be held by someone), and swing it out of the door on the shovel three times, saying: "If you're a fairy away with you!" If it is a fairy child, it will die that night; but if not, it will surely begin to mend” (Duncan, 163). Other “cures” included offering the child tobacco or alcohol in order to tempt the adult fairy. On a darker note, these infants were often pinched, burned, or even killed in extreme cases as people were influenced by the stories they had been told for generations. As one informant states when talking about curing changelings, “He [</w:t>
      </w:r>
      <w:r w:rsidDel="00000000" w:rsidR="00000000" w:rsidRPr="00000000">
        <w:rPr>
          <w:rFonts w:ascii="Calibri" w:cs="Calibri" w:eastAsia="Calibri" w:hAnsi="Calibri"/>
          <w:color w:val="333333"/>
          <w:sz w:val="24"/>
          <w:szCs w:val="24"/>
          <w:highlight w:val="white"/>
          <w:rtl w:val="0"/>
        </w:rPr>
        <w:t xml:space="preserve">Jimmy Smyth] </w:t>
      </w:r>
      <w:r w:rsidDel="00000000" w:rsidR="00000000" w:rsidRPr="00000000">
        <w:rPr>
          <w:rFonts w:ascii="Calibri" w:cs="Calibri" w:eastAsia="Calibri" w:hAnsi="Calibri"/>
          <w:sz w:val="24"/>
          <w:szCs w:val="24"/>
          <w:rtl w:val="0"/>
        </w:rPr>
        <w:t xml:space="preserve">did not employ the "story method" (eg throwing the elf a changeling in behind the fire)” (NCFS 221:429). This anecdote indicates the “story method” has in the past been employed as a means of revealing a changeling. In the case of changelings, fairy belief is again used to illustrate fears regarding change and things unknown or unexplainable to people at the time. </w:t>
      </w:r>
    </w:p>
    <w:p w:rsidR="00000000" w:rsidDel="00000000" w:rsidP="00000000" w:rsidRDefault="00000000" w:rsidRPr="00000000" w14:paraId="00000024">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Fairies not only existed in physical spaces of liminality such as fairy forts, but in spaces of social change as well. The suspension of normalcy within a community often created periods of extreme emotion (Bourke, 12). Women in labor are in deep periods of transition, as the children enter the world and women become mothers. These periods of change have led to a great fear of fairies coming to somehow ruin the mother or child. Husbands were not allowed to leave the home after a child was born in order to protect it and the mother from the fairies (Duncan). One source notes other precautions, “In olden times when a woman had to leave the child alone for a while a tongs was placed across the child in the cradle to prevent the fairies from taking the child and if they had to take the child out late at night they put a quenched coal in the child's dress also to prevent the fairies from taking the child” (NCFS 146:235 Michael Ferguson, Ardnaree or Shanaghy, Co. Mayo). These extreme measures meant to protect the child from fairies reflect the deeper fear of infant mortality. There was a high risk of death for mothers and their newborns as medical care during childbirth was still developing. These deaths were often viewed as untimely and therefore the work of the fairies. Fairy belief in childbirth practices emphasizes the value of fairy belief in Ireland, as it allows people to place fears that are difficult to vocalize onto a physical being that can be then talked about. </w:t>
      </w:r>
    </w:p>
    <w:p w:rsidR="00000000" w:rsidDel="00000000" w:rsidP="00000000" w:rsidRDefault="00000000" w:rsidRPr="00000000" w14:paraId="00000025">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belief in fairies in Ireland reflected human attitudes towards the unknown. In an attempt to explain the unexplainable, fairies and their ever-shifting powers and charms were born. Life circumstances surrounding illness and disability were deeply affected by fairy belief, as medical knowledge was not made available to those operating under fairy belief. There were many negative outcomes of fairy beliefs influencing medical practices in Ireland. Illnesses often went mistreated as folklore dictated the affected person’s slight against the fairies needed to be addressed rather than the illness itself. Additionally, the belief in changelings allowed for abuses against women to be justified as seen in Bridget Cleary’s. The desire to live a life within the natural order of a community led individuals to harm their disabled newborns, as they did not understand why their child was born different from others. These negative consequences show the impact of fairy beliefs and how physical habits influenced by these beliefs were not productive. That being said, belief in fairies serves as a poignant reminder of human desire to understand the unknown. In times of change and liminality, people often find comfort in projecting their fears onto an outside source. The endurance of fairy belief in Ireland as seen through illness and childbirth, reveals how faires acted as a system in which people can find comfort in explaining the unexplainable. </w:t>
      </w:r>
    </w:p>
    <w:p w:rsidR="00000000" w:rsidDel="00000000" w:rsidP="00000000" w:rsidRDefault="00000000" w:rsidRPr="00000000" w14:paraId="00000026">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Folklore Collection Sources</w:t>
      </w:r>
    </w:p>
    <w:p w:rsidR="00000000" w:rsidDel="00000000" w:rsidP="00000000" w:rsidRDefault="00000000" w:rsidRPr="00000000" w14:paraId="0000003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NCFS 1118:231 Dan Mc Laughlin, Glennagiveny, Co. Donegal</w:t>
      </w:r>
    </w:p>
    <w:p w:rsidR="00000000" w:rsidDel="00000000" w:rsidP="00000000" w:rsidRDefault="00000000" w:rsidRPr="00000000" w14:paraId="0000003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NCFS 560:274 James Maher, Mullinahone, Co. Tipperary</w:t>
      </w:r>
    </w:p>
    <w:p w:rsidR="00000000" w:rsidDel="00000000" w:rsidP="00000000" w:rsidRDefault="00000000" w:rsidRPr="00000000" w14:paraId="0000003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NCFS 146:235 Michael Ferguson, Ardnaree or Shanaghy, Co. Mayo</w:t>
      </w:r>
    </w:p>
    <w:p w:rsidR="00000000" w:rsidDel="00000000" w:rsidP="00000000" w:rsidRDefault="00000000" w:rsidRPr="00000000" w14:paraId="0000003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NCFS 697:352 M. Murray, Clonymore, Co. Meath</w:t>
      </w:r>
    </w:p>
    <w:p w:rsidR="00000000" w:rsidDel="00000000" w:rsidP="00000000" w:rsidRDefault="00000000" w:rsidRPr="00000000" w14:paraId="0000003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NCFS 93:501</w:t>
      </w:r>
    </w:p>
    <w:p w:rsidR="00000000" w:rsidDel="00000000" w:rsidP="00000000" w:rsidRDefault="00000000" w:rsidRPr="00000000" w14:paraId="0000003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NCFS 221:429</w:t>
      </w:r>
    </w:p>
    <w:p w:rsidR="00000000" w:rsidDel="00000000" w:rsidP="00000000" w:rsidRDefault="00000000" w:rsidRPr="00000000" w14:paraId="00000037">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36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 Cited</w:t>
      </w:r>
    </w:p>
    <w:p w:rsidR="00000000" w:rsidDel="00000000" w:rsidP="00000000" w:rsidRDefault="00000000" w:rsidRPr="00000000" w14:paraId="0000004E">
      <w:pPr>
        <w:spacing w:line="3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Bourke, Angela. "The Virtual Reality of Irish Fairy Legend." Éire-Ireland, vol. 31 no. 1, 1996, p. </w:t>
      </w:r>
    </w:p>
    <w:p w:rsidR="00000000" w:rsidDel="00000000" w:rsidP="00000000" w:rsidRDefault="00000000" w:rsidRPr="00000000" w14:paraId="00000050">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7-25. Project MUSE, https://doi.org/10.1353/eir.1996.0001.</w:t>
      </w:r>
    </w:p>
    <w:p w:rsidR="00000000" w:rsidDel="00000000" w:rsidP="00000000" w:rsidRDefault="00000000" w:rsidRPr="00000000" w14:paraId="0000005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Christiansen, Reidar Th. “Some Notes on the Fairies and the Fairy Faith.” Béaloideas, vol. 39/41, </w:t>
      </w:r>
    </w:p>
    <w:p w:rsidR="00000000" w:rsidDel="00000000" w:rsidP="00000000" w:rsidRDefault="00000000" w:rsidRPr="00000000" w14:paraId="00000052">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1971, pp. 95–111. JSTOR, https://doi.org/10.2307/20521348. Accessed 11 Mar. 2024.</w:t>
      </w:r>
    </w:p>
    <w:p w:rsidR="00000000" w:rsidDel="00000000" w:rsidP="00000000" w:rsidRDefault="00000000" w:rsidRPr="00000000" w14:paraId="00000053">
      <w:pPr>
        <w:spacing w:line="360" w:lineRule="auto"/>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Duncan, Leland L., et al. “Fairy Beliefs and Other Folklore Notes from County Leitrim.” Folklore, </w:t>
      </w:r>
    </w:p>
    <w:p w:rsidR="00000000" w:rsidDel="00000000" w:rsidP="00000000" w:rsidRDefault="00000000" w:rsidRPr="00000000" w14:paraId="00000054">
      <w:pPr>
        <w:spacing w:line="360" w:lineRule="auto"/>
        <w:ind w:left="0" w:firstLine="72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 7, no. 2, </w:t>
      </w:r>
    </w:p>
    <w:p w:rsidR="00000000" w:rsidDel="00000000" w:rsidP="00000000" w:rsidRDefault="00000000" w:rsidRPr="00000000" w14:paraId="0000005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Eberly, Susan Schoon. “Fairies and the Folklore of Disability: Changelings, Hybrids and the </w:t>
      </w:r>
    </w:p>
    <w:p w:rsidR="00000000" w:rsidDel="00000000" w:rsidP="00000000" w:rsidRDefault="00000000" w:rsidRPr="00000000" w14:paraId="00000056">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Solitary Fairy.” Folklore, vol. 99, no. 1, 1988, pp. 58–77. JSTOR, </w:t>
      </w:r>
    </w:p>
    <w:p w:rsidR="00000000" w:rsidDel="00000000" w:rsidP="00000000" w:rsidRDefault="00000000" w:rsidRPr="00000000" w14:paraId="00000057">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http://www.jstor.org/stable/1259568. Accessed 11 Mar. 2024.</w:t>
      </w:r>
    </w:p>
    <w:p w:rsidR="00000000" w:rsidDel="00000000" w:rsidP="00000000" w:rsidRDefault="00000000" w:rsidRPr="00000000" w14:paraId="0000005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Ó Giolláin, Diarmuid. “Popular and Official Religion.” The Good People: New Fairylore Essays, </w:t>
      </w:r>
    </w:p>
    <w:p w:rsidR="00000000" w:rsidDel="00000000" w:rsidP="00000000" w:rsidRDefault="00000000" w:rsidRPr="00000000" w14:paraId="00000059">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edited by Peter Narvaez. </w:t>
      </w:r>
    </w:p>
    <w:p w:rsidR="00000000" w:rsidDel="00000000" w:rsidP="00000000" w:rsidRDefault="00000000" w:rsidRPr="00000000" w14:paraId="0000005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‘Witch-Burning’ at Clonmel.” Folklore, vol. 6, no. 4, 1895, pp. 373–84. JSTOR, </w:t>
      </w:r>
    </w:p>
    <w:p w:rsidR="00000000" w:rsidDel="00000000" w:rsidP="00000000" w:rsidRDefault="00000000" w:rsidRPr="00000000" w14:paraId="0000005B">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http://www.jstor.org/stable/1253745. Accessed 11 Mar. 2024.</w:t>
      </w:r>
    </w:p>
    <w:p w:rsidR="00000000" w:rsidDel="00000000" w:rsidP="00000000" w:rsidRDefault="00000000" w:rsidRPr="00000000" w14:paraId="0000005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63">
      <w:pPr>
        <w:spacing w:line="360" w:lineRule="auto"/>
        <w:ind w:firstLine="720"/>
        <w:rPr>
          <w:rFonts w:ascii="Calibri" w:cs="Calibri" w:eastAsia="Calibri" w:hAnsi="Calibri"/>
          <w:sz w:val="24"/>
          <w:szCs w:val="24"/>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